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94" w:rsidRPr="00F80D94" w:rsidRDefault="00F80D94" w:rsidP="00F80D94">
      <w:pPr>
        <w:widowControl w:val="0"/>
        <w:jc w:val="center"/>
        <w:rPr>
          <w:rFonts w:ascii="Arial" w:hAnsi="Arial" w:cs="Arial"/>
          <w:b/>
          <w:bCs/>
          <w:sz w:val="48"/>
          <w:szCs w:val="52"/>
          <w14:ligatures w14:val="none"/>
        </w:rPr>
      </w:pPr>
      <w:r w:rsidRPr="00F80D94">
        <w:rPr>
          <w:rFonts w:ascii="Arial" w:hAnsi="Arial" w:cs="Arial"/>
          <w:b/>
          <w:bCs/>
          <w:sz w:val="48"/>
          <w:szCs w:val="52"/>
          <w14:ligatures w14:val="none"/>
        </w:rPr>
        <w:t>The Writing Process in KS2</w:t>
      </w:r>
    </w:p>
    <w:p w:rsidR="00F80D94" w:rsidRPr="00F80D94" w:rsidRDefault="00F80D94" w:rsidP="00F80D94">
      <w:pPr>
        <w:widowControl w:val="0"/>
        <w:rPr>
          <w:rFonts w:ascii="Arial" w:hAnsi="Arial" w:cs="Arial"/>
          <w:color w:val="333333"/>
          <w:sz w:val="14"/>
          <w:szCs w:val="16"/>
          <w14:ligatures w14:val="none"/>
        </w:rPr>
      </w:pPr>
      <w:r w:rsidRPr="00F80D94">
        <w:rPr>
          <w:sz w:val="36"/>
          <w:szCs w:val="40"/>
          <w14:ligatures w14:val="none"/>
        </w:rPr>
        <w:t xml:space="preserve">At St. Edward’s we aim to expose children to a range of writing: 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color w:val="333333"/>
          <w:sz w:val="32"/>
          <w:szCs w:val="36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expository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>writing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color w:val="333333"/>
          <w:sz w:val="32"/>
          <w:szCs w:val="36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descriptive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>writing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color w:val="333333"/>
          <w:sz w:val="32"/>
          <w:szCs w:val="36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narrative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>writing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color w:val="333333"/>
          <w:sz w:val="32"/>
          <w:szCs w:val="36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persuasive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>writing</w:t>
      </w:r>
    </w:p>
    <w:p w:rsidR="00F80D94" w:rsidRPr="00F80D94" w:rsidRDefault="00F80D94" w:rsidP="00F80D94">
      <w:pPr>
        <w:widowControl w:val="0"/>
        <w:spacing w:after="225"/>
        <w:ind w:right="600"/>
        <w:rPr>
          <w:sz w:val="96"/>
          <w:szCs w:val="144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journal and letter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>writing.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color w:val="333333"/>
          <w:sz w:val="32"/>
          <w:szCs w:val="36"/>
          <w14:ligatures w14:val="none"/>
        </w:rPr>
      </w:pP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 xml:space="preserve">As well as this, within each year, we introduce children to examples of 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classic children’s literature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 xml:space="preserve">and literature reflecting the diversity of the local area. 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color w:val="333333"/>
          <w:sz w:val="32"/>
          <w:szCs w:val="36"/>
          <w14:ligatures w14:val="none"/>
        </w:rPr>
      </w:pP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Key components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>of writing are added gradually, building on children’s early skills and knowledge development in EYFS: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>sentence construction, and clauses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>grammar and syntax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color w:val="333333"/>
          <w:sz w:val="32"/>
          <w:szCs w:val="36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spelling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>patterns, irregular spellings and etymology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color w:val="333333"/>
          <w:sz w:val="32"/>
          <w:szCs w:val="36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punctuation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>and how it supports sentence clarity</w:t>
      </w:r>
    </w:p>
    <w:p w:rsidR="00F80D94" w:rsidRPr="00F80D94" w:rsidRDefault="00F80D94" w:rsidP="00F80D94">
      <w:pPr>
        <w:widowControl w:val="0"/>
        <w:spacing w:after="225"/>
        <w:ind w:right="600"/>
        <w:rPr>
          <w:rFonts w:ascii="Arial" w:hAnsi="Arial" w:cs="Arial"/>
          <w:color w:val="333333"/>
          <w:sz w:val="32"/>
          <w:szCs w:val="36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descriptive device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 xml:space="preserve">hierarchy and 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>figurative language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>.</w:t>
      </w:r>
    </w:p>
    <w:p w:rsidR="00F80D94" w:rsidRPr="00F80D94" w:rsidRDefault="00F80D94" w:rsidP="00F80D94">
      <w:pPr>
        <w:widowControl w:val="0"/>
        <w:spacing w:after="225"/>
        <w:ind w:right="600"/>
        <w:rPr>
          <w:sz w:val="96"/>
          <w:szCs w:val="144"/>
          <w14:ligatures w14:val="none"/>
        </w:rPr>
      </w:pPr>
      <w:r w:rsidRPr="00F80D94">
        <w:rPr>
          <w:rFonts w:ascii="Wingdings 2" w:hAnsi="Wingdings 2"/>
          <w:b/>
          <w:bCs/>
          <w:color w:val="333333"/>
          <w:sz w:val="32"/>
          <w:szCs w:val="36"/>
          <w14:ligatures w14:val="none"/>
        </w:rPr>
        <w:t>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 xml:space="preserve">poetic features </w:t>
      </w: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 xml:space="preserve">and </w:t>
      </w:r>
      <w:r w:rsidRPr="00F80D94">
        <w:rPr>
          <w:rFonts w:ascii="Arial" w:hAnsi="Arial" w:cs="Arial"/>
          <w:b/>
          <w:bCs/>
          <w:color w:val="333333"/>
          <w:sz w:val="32"/>
          <w:szCs w:val="36"/>
          <w14:ligatures w14:val="none"/>
        </w:rPr>
        <w:t>persuasive features</w:t>
      </w:r>
    </w:p>
    <w:p w:rsidR="00F80D94" w:rsidRPr="00F80D94" w:rsidRDefault="00F80D94" w:rsidP="00F80D94">
      <w:pPr>
        <w:widowControl w:val="0"/>
        <w:spacing w:after="0"/>
        <w:ind w:right="600"/>
        <w:jc w:val="center"/>
        <w:rPr>
          <w:sz w:val="18"/>
          <w14:ligatures w14:val="none"/>
        </w:rPr>
      </w:pPr>
      <w:r w:rsidRPr="00F80D94">
        <w:rPr>
          <w:rFonts w:ascii="Arial" w:hAnsi="Arial" w:cs="Arial"/>
          <w:color w:val="333333"/>
          <w:sz w:val="32"/>
          <w:szCs w:val="36"/>
          <w14:ligatures w14:val="none"/>
        </w:rPr>
        <w:t>Children’s exposure to quality literature will directly inform the development their knowledge of language models.</w:t>
      </w:r>
      <w:bookmarkStart w:id="0" w:name="_GoBack"/>
      <w:bookmarkEnd w:id="0"/>
    </w:p>
    <w:p w:rsidR="008454F6" w:rsidRPr="00F80D94" w:rsidRDefault="008454F6">
      <w:pPr>
        <w:rPr>
          <w:sz w:val="16"/>
        </w:rPr>
      </w:pPr>
    </w:p>
    <w:sectPr w:rsidR="008454F6" w:rsidRPr="00F80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97"/>
    <w:rsid w:val="008454F6"/>
    <w:rsid w:val="00F80D94"/>
    <w:rsid w:val="00FD0D9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D65E"/>
  <w15:chartTrackingRefBased/>
  <w15:docId w15:val="{F9D812BE-F116-41BF-BFA6-5792295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9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Johnson</dc:creator>
  <cp:keywords/>
  <dc:description/>
  <cp:lastModifiedBy>Dominic Johnson</cp:lastModifiedBy>
  <cp:revision>2</cp:revision>
  <dcterms:created xsi:type="dcterms:W3CDTF">2024-06-20T11:15:00Z</dcterms:created>
  <dcterms:modified xsi:type="dcterms:W3CDTF">2024-06-20T11:15:00Z</dcterms:modified>
</cp:coreProperties>
</file>